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EBA5A" w14:textId="22AF45AA" w:rsidR="0050028D" w:rsidRPr="0050028D" w:rsidRDefault="0050028D" w:rsidP="0050028D">
      <w:pPr>
        <w:rPr>
          <w:b/>
          <w:sz w:val="28"/>
          <w:szCs w:val="28"/>
        </w:rPr>
      </w:pPr>
      <w:r w:rsidRPr="0050028D">
        <w:rPr>
          <w:b/>
          <w:sz w:val="28"/>
          <w:szCs w:val="28"/>
        </w:rPr>
        <w:t xml:space="preserve">Appendix </w:t>
      </w:r>
      <w:r w:rsidR="002B3D59">
        <w:rPr>
          <w:b/>
          <w:sz w:val="28"/>
          <w:szCs w:val="28"/>
        </w:rPr>
        <w:t>1</w:t>
      </w:r>
    </w:p>
    <w:p w14:paraId="343011F9" w14:textId="77777777" w:rsidR="0050028D" w:rsidRPr="0050028D" w:rsidRDefault="0050028D" w:rsidP="0050028D">
      <w:pPr>
        <w:rPr>
          <w:b/>
        </w:rPr>
      </w:pPr>
      <w:r w:rsidRPr="0050028D">
        <w:rPr>
          <w:b/>
        </w:rPr>
        <w:t xml:space="preserve">Thames Valley Devolution EOI Letter </w:t>
      </w:r>
    </w:p>
    <w:tbl>
      <w:tblPr>
        <w:tblStyle w:val="PlainTable3"/>
        <w:tblW w:w="0" w:type="auto"/>
        <w:tblLook w:val="04A0" w:firstRow="1" w:lastRow="0" w:firstColumn="1" w:lastColumn="0" w:noHBand="0" w:noVBand="1"/>
      </w:tblPr>
      <w:tblGrid>
        <w:gridCol w:w="4508"/>
        <w:gridCol w:w="4508"/>
      </w:tblGrid>
      <w:tr w:rsidR="0050028D" w:rsidRPr="0050028D" w14:paraId="7D8C0E67" w14:textId="77777777" w:rsidTr="00A44DE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8" w:type="dxa"/>
          </w:tcPr>
          <w:p w14:paraId="332E39ED" w14:textId="77777777" w:rsidR="0050028D" w:rsidRPr="0050028D" w:rsidRDefault="0050028D" w:rsidP="0050028D">
            <w:pPr>
              <w:spacing w:after="160" w:line="259" w:lineRule="auto"/>
            </w:pPr>
            <w:r w:rsidRPr="0050028D">
              <w:t>Version and date</w:t>
            </w:r>
          </w:p>
        </w:tc>
        <w:tc>
          <w:tcPr>
            <w:tcW w:w="4508" w:type="dxa"/>
          </w:tcPr>
          <w:p w14:paraId="0F7102FB" w14:textId="77777777" w:rsidR="0050028D" w:rsidRPr="0050028D" w:rsidRDefault="0050028D" w:rsidP="0050028D">
            <w:pPr>
              <w:spacing w:after="160" w:line="259" w:lineRule="auto"/>
              <w:cnfStyle w:val="100000000000" w:firstRow="1" w:lastRow="0" w:firstColumn="0" w:lastColumn="0" w:oddVBand="0" w:evenVBand="0" w:oddHBand="0" w:evenHBand="0" w:firstRowFirstColumn="0" w:firstRowLastColumn="0" w:lastRowFirstColumn="0" w:lastRowLastColumn="0"/>
            </w:pPr>
            <w:r w:rsidRPr="0050028D">
              <w:t>Description</w:t>
            </w:r>
          </w:p>
        </w:tc>
      </w:tr>
      <w:tr w:rsidR="0050028D" w:rsidRPr="0050028D" w14:paraId="2D19E4D8" w14:textId="77777777" w:rsidTr="00A44D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881507E" w14:textId="77777777" w:rsidR="0050028D" w:rsidRPr="0050028D" w:rsidRDefault="0050028D" w:rsidP="0050028D">
            <w:pPr>
              <w:spacing w:after="160" w:line="259" w:lineRule="auto"/>
            </w:pPr>
            <w:r w:rsidRPr="0050028D">
              <w:t>VERSION 6 11</w:t>
            </w:r>
            <w:r w:rsidRPr="0050028D">
              <w:rPr>
                <w:vertAlign w:val="superscript"/>
              </w:rPr>
              <w:t>th</w:t>
            </w:r>
            <w:r w:rsidRPr="0050028D">
              <w:t xml:space="preserve"> November 2025</w:t>
            </w:r>
          </w:p>
        </w:tc>
        <w:tc>
          <w:tcPr>
            <w:tcW w:w="4508" w:type="dxa"/>
          </w:tcPr>
          <w:p w14:paraId="53F9B176" w14:textId="77777777" w:rsidR="0050028D" w:rsidRPr="0050028D" w:rsidRDefault="0050028D" w:rsidP="0050028D">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50028D">
              <w:rPr>
                <w:b/>
              </w:rPr>
              <w:t>Sixth draft with minor amends following Devolution Board</w:t>
            </w:r>
          </w:p>
        </w:tc>
      </w:tr>
    </w:tbl>
    <w:p w14:paraId="556CF84D" w14:textId="77777777" w:rsidR="0050028D" w:rsidRPr="0050028D" w:rsidRDefault="0050028D" w:rsidP="0050028D">
      <w:pPr>
        <w:rPr>
          <w:b/>
        </w:rPr>
      </w:pPr>
    </w:p>
    <w:p w14:paraId="507E86E6" w14:textId="77777777" w:rsidR="0050028D" w:rsidRPr="0050028D" w:rsidRDefault="0050028D" w:rsidP="0050028D">
      <w:pPr>
        <w:rPr>
          <w:b/>
        </w:rPr>
      </w:pPr>
      <w:r w:rsidRPr="0050028D">
        <w:rPr>
          <w:b/>
        </w:rPr>
        <w:t>This EOI aims to…</w:t>
      </w:r>
    </w:p>
    <w:p w14:paraId="210A1919" w14:textId="77777777" w:rsidR="0050028D" w:rsidRPr="0050028D" w:rsidRDefault="0050028D" w:rsidP="0050028D">
      <w:r w:rsidRPr="0050028D">
        <w:t>Proactively position Thames Valley at the front of the queue for future devolution by submitting a compelling case ahead of formal process, as an input for new ministerial briefings</w:t>
      </w:r>
    </w:p>
    <w:p w14:paraId="1B718B02" w14:textId="77777777" w:rsidR="0050028D" w:rsidRPr="0050028D" w:rsidRDefault="0050028D" w:rsidP="0050028D">
      <w:r w:rsidRPr="0050028D">
        <w:t>Set out a clear and focused pitch, explicitly aligned to current Government priorities, making it easy for ministers and officials to see how their goals can be achieved through Thames Valley’s proposals</w:t>
      </w:r>
    </w:p>
    <w:p w14:paraId="6DEE84AB" w14:textId="77777777" w:rsidR="0050028D" w:rsidRPr="0050028D" w:rsidRDefault="0050028D" w:rsidP="0050028D">
      <w:r w:rsidRPr="0050028D">
        <w:t>Demonstrate the existing strength of partnership and delivery across the region, and readiness for devolution</w:t>
      </w:r>
    </w:p>
    <w:p w14:paraId="7264961E" w14:textId="77777777" w:rsidR="0050028D" w:rsidRPr="0050028D" w:rsidRDefault="0050028D" w:rsidP="0050028D">
      <w:r w:rsidRPr="0050028D">
        <w:t xml:space="preserve">Demonstrate proactive thinking around how Level 3 MSA powers will be used to drive benefits in this region and its specific conditions and opportunities </w:t>
      </w:r>
    </w:p>
    <w:p w14:paraId="17E002CC" w14:textId="77777777" w:rsidR="0050028D" w:rsidRPr="0050028D" w:rsidRDefault="0050028D" w:rsidP="0050028D">
      <w:pPr>
        <w:rPr>
          <w:b/>
        </w:rPr>
      </w:pPr>
      <w:r w:rsidRPr="0050028D">
        <w:rPr>
          <w:b/>
        </w:rPr>
        <w:t>This EOI is not…</w:t>
      </w:r>
    </w:p>
    <w:p w14:paraId="07D8165E" w14:textId="77777777" w:rsidR="0050028D" w:rsidRPr="0050028D" w:rsidRDefault="0050028D" w:rsidP="0050028D">
      <w:r w:rsidRPr="0050028D">
        <w:t>A longform prospectus</w:t>
      </w:r>
    </w:p>
    <w:p w14:paraId="07DEC7DA" w14:textId="77777777" w:rsidR="0050028D" w:rsidRPr="0050028D" w:rsidRDefault="0050028D" w:rsidP="0050028D">
      <w:r w:rsidRPr="0050028D">
        <w:t>For a broad range of audiences – we are in this instance aiming to convince Government and the Thames Valley Members of the case for devolution</w:t>
      </w:r>
    </w:p>
    <w:p w14:paraId="08A5B66A" w14:textId="77777777" w:rsidR="0050028D" w:rsidRPr="0050028D" w:rsidRDefault="0050028D" w:rsidP="0050028D">
      <w:r w:rsidRPr="0050028D">
        <w:t>An exhaustive application form with all questions answered – emerging ideas and thinking is helpful</w:t>
      </w:r>
    </w:p>
    <w:p w14:paraId="1C411256" w14:textId="77777777" w:rsidR="0050028D" w:rsidRPr="0050028D" w:rsidRDefault="0050028D" w:rsidP="0050028D">
      <w:r w:rsidRPr="0050028D">
        <w:t xml:space="preserve">When submitted to each local authority Council for approval, this letter will be accompanied by a cover report setting out the context and rationale for the EOI, and addressing regional and individual local authority issues or concerns. This aims to support constructive Council discussions and approval. </w:t>
      </w:r>
    </w:p>
    <w:p w14:paraId="07692E6F" w14:textId="77777777" w:rsidR="0050028D" w:rsidRPr="0050028D" w:rsidRDefault="0050028D" w:rsidP="0050028D">
      <w:r w:rsidRPr="0050028D">
        <w:t xml:space="preserve">The EOI letter will also be accompanied by supplementary document for use by local authority Leaders and CEOs in discussions with Government and other national and regional stakeholders. It will set out more information on the economic context, growth challenges, and opportunities facing the Thames Valley; the rationale for devolution and a Mayoral Strategic Authority; the proposed objectives and mechanisms for regional growth; and anticipated next steps in engagement with government and stakeholders. We are in the process of collating a list of projects and ideas to include in this document and the EOI itself. </w:t>
      </w:r>
    </w:p>
    <w:p w14:paraId="69270CD9" w14:textId="382D841B" w:rsidR="0050028D" w:rsidRPr="0050028D" w:rsidRDefault="0050028D" w:rsidP="0050028D">
      <w:pPr>
        <w:rPr>
          <w:b/>
          <w:bCs/>
        </w:rPr>
      </w:pPr>
      <w:r w:rsidRPr="0050028D">
        <w:rPr>
          <w:b/>
          <w:bCs/>
        </w:rPr>
        <w:br w:type="page"/>
      </w:r>
      <w:r w:rsidRPr="0050028D">
        <w:rPr>
          <w:b/>
          <w:bCs/>
        </w:rPr>
        <w:lastRenderedPageBreak/>
        <w:t xml:space="preserve">EOI </w:t>
      </w:r>
    </w:p>
    <w:p w14:paraId="1A24C756" w14:textId="77777777" w:rsidR="0050028D" w:rsidRPr="0050028D" w:rsidRDefault="0050028D" w:rsidP="0050028D"/>
    <w:p w14:paraId="0FFFF44E" w14:textId="77777777" w:rsidR="0050028D" w:rsidRPr="0050028D" w:rsidRDefault="0050028D" w:rsidP="0050028D">
      <w:r w:rsidRPr="0050028D">
        <w:t xml:space="preserve">Dear Secretary of State, </w:t>
      </w:r>
    </w:p>
    <w:p w14:paraId="23E0333B" w14:textId="77777777" w:rsidR="0050028D" w:rsidRPr="0050028D" w:rsidRDefault="0050028D" w:rsidP="0050028D">
      <w:r w:rsidRPr="0050028D">
        <w:t xml:space="preserve">We, the Leaders of the local authorities in the Thames Valley, are writing to you in your capacity as Secretary of State for Housing, Communities and Local Government regarding our desire for devolution and our inclusion on a future Devolution Programme. </w:t>
      </w:r>
    </w:p>
    <w:p w14:paraId="6B1A167A" w14:textId="77777777" w:rsidR="0050028D" w:rsidRPr="0050028D" w:rsidRDefault="0050028D" w:rsidP="0050028D">
      <w:r w:rsidRPr="0050028D">
        <w:t xml:space="preserve">We have carefully considered our rationale and case for devolution to this region and see a significant opportunity to drive growth and prosperity as a Mayoral Strategic Authority. Our £97 billion economy is already a core contributor to the national economy and will continue to add economic value through our highly productive and innovative businesses, constituting the sectors prioritised in the Modern Industrial Strategy and a large part of the Ox-Cam Corridor, a key national growth proposition. However, the region’s post-pandemic recovery has been slower than the national trajectory, and our globally recognised clusters face increasingly strong competition. We will use the powers, investment and platform as an MSA to unlock constraints on growth, with the potential for the Thames Valley economy to be up to £18.7 billion a year larger by 2040, which corresponds to a £7 billion annual uplift in tax revenue contributions to the exchequer.  </w:t>
      </w:r>
    </w:p>
    <w:p w14:paraId="62DD416D" w14:textId="77777777" w:rsidR="0050028D" w:rsidRPr="0050028D" w:rsidRDefault="0050028D" w:rsidP="0050028D">
      <w:r w:rsidRPr="0050028D">
        <w:t xml:space="preserve">We have come together as strong local Leaders to pursue the significant opportunities of devolution for our communities. Whilst we acknowledge and respect our differing political and local priorities, together we recognise and collectively support the core economic rationale and strategic intention for delivering inclusive growth within a Thames Valley MSA. We stand ready with the strength of relationships, trust, track record, collective governance and ways of working required to work with Government and implement a successful MSA. We would like to work towards a first mayoral election in May 2027, in line with the current timeline for local government reorganisation. </w:t>
      </w:r>
    </w:p>
    <w:p w14:paraId="5D23DD38" w14:textId="77777777" w:rsidR="0050028D" w:rsidRPr="0050028D" w:rsidRDefault="0050028D" w:rsidP="0050028D">
      <w:pPr>
        <w:rPr>
          <w:b/>
          <w:bCs/>
        </w:rPr>
      </w:pPr>
      <w:r w:rsidRPr="0050028D">
        <w:rPr>
          <w:b/>
          <w:bCs/>
        </w:rPr>
        <w:t xml:space="preserve">Importance of the Thames Valley for the UK Economy </w:t>
      </w:r>
    </w:p>
    <w:p w14:paraId="43EA9964" w14:textId="77777777" w:rsidR="0050028D" w:rsidRPr="0050028D" w:rsidRDefault="0050028D" w:rsidP="0050028D">
      <w:r w:rsidRPr="0050028D">
        <w:t>The Thames Valley serves as an innovation-driven and export-focused catalyst for UK economic growth, accounting for approximately 5% of England’s total economy while comprising just 3.4% of its population. Our economy comprises world-renowned universities, respected research centres, and leading science parks filled with forward-thinking companies, driving innovation ecosystems that spur new ideas and growth across UK supply chains. Oxford University is a jewel in the UK’s global research offer, and our partnerships with Reading University creates value for residents, businesses, and investors through key assets such as the Thames Valley Science Park, which hosts research facilities and archives for the Natural History Museum, British Museum and Kew Gardens. Our region is a globally compelling investment case, with major global companies such as Microsoft, Oracle, Redwood Technologies, Virgin, Vodafone, and Hewlett-Packard located in the UK’s Silicon Valley along the M4 corridor, with direct links to London and Heathrow Airport. From the region that gave the world the Oxford–AstraZeneca COVID</w:t>
      </w:r>
      <w:r w:rsidRPr="0050028D">
        <w:rPr>
          <w:rFonts w:ascii="Cambria Math" w:hAnsi="Cambria Math" w:cs="Cambria Math"/>
        </w:rPr>
        <w:t>‑</w:t>
      </w:r>
      <w:r w:rsidRPr="0050028D">
        <w:t xml:space="preserve">19 vaccine, the Ellison Institute of Technology in Oxford is now investing over £10 billion in research and development to facilitate further globally significant advancements in artificial intelligence, robotics, and life sciences. Major investment in AI infrastructure has been secured across the region, with the second largest concentration of data centres in the world in Slough and the first AI Growth Zone in Culham. We have high-performance manufacturing capabilities along the M40 corridor, exemplified by Plant Oxford, </w:t>
      </w:r>
      <w:r w:rsidRPr="0050028D">
        <w:lastRenderedPageBreak/>
        <w:t xml:space="preserve">home to BMW Mini, extending into Banbury and the UK Motorsports Valley into the Midlands. We are home to world-famous tourist attractions, from Windsor to the Cotswolds, Oxford, Blenheim Palace and Bicester Village. We are known world-over as a great place to visit, live, innovate and invest. Our investment proposition is already backed by Government, with continued global promotion of the Oxford-Cambridge corridor, of which we are a core part, investment in East-West Rail, high-profile support through the Oxford Growth Commission and recent investment in the Cowley branch line.  </w:t>
      </w:r>
    </w:p>
    <w:p w14:paraId="1A0B6853" w14:textId="77777777" w:rsidR="0050028D" w:rsidRPr="0050028D" w:rsidRDefault="0050028D" w:rsidP="0050028D">
      <w:r w:rsidRPr="0050028D">
        <w:t>The industrial composition of the Thames Valley directly aligns with almost all the sector strengths outlined in the Industrial Strategy – our economy is anchored by professional and business services, with notable capabilities in digital technologies, life sciences, advanced manufacturing and a prominent finance sector. The strength of the region's visitor economy not only supports our foundational sectors but also positively impacts our creative industries, especially our growing film and television cluster around Shinfield Studios. Proposed visitor economy investments, including the Puy du Fou Bicester, together with significant heritage landmarks would remain substantial contributors to export growth. Importantly, the Thames Valley demonstrates a strong orientation towards export activities: approximately 48% of the workforce is employed in exporting industries, and 40% hold positions within tradable sectors, both figures exceeding national averages. Exceptional productivity and economic complexity facilitate the dissemination of innovation across key sectors and strengthen supply chains nationwide. Furthermore, growth in GVA and household income in the Thames Valley has surpassed national rates, thereby improving local living standards and contributing positively to Exchequer revenues.</w:t>
      </w:r>
    </w:p>
    <w:p w14:paraId="42ADE735" w14:textId="77777777" w:rsidR="0050028D" w:rsidRPr="0050028D" w:rsidRDefault="0050028D" w:rsidP="0050028D">
      <w:pPr>
        <w:rPr>
          <w:b/>
          <w:bCs/>
        </w:rPr>
      </w:pPr>
      <w:r w:rsidRPr="0050028D">
        <w:rPr>
          <w:b/>
          <w:bCs/>
        </w:rPr>
        <w:t>Signs of risk and stagnation</w:t>
      </w:r>
    </w:p>
    <w:p w14:paraId="248BB8CB" w14:textId="77777777" w:rsidR="0050028D" w:rsidRPr="0050028D" w:rsidRDefault="0050028D" w:rsidP="0050028D">
      <w:r w:rsidRPr="0050028D">
        <w:t>Despite the Thames Valley’s underlying strength, the region has not re-established its pre-pandemic growth path. Post</w:t>
      </w:r>
      <w:r w:rsidRPr="0050028D">
        <w:rPr>
          <w:rFonts w:ascii="Cambria Math" w:hAnsi="Cambria Math" w:cs="Cambria Math"/>
        </w:rPr>
        <w:t>‑</w:t>
      </w:r>
      <w:r w:rsidRPr="0050028D">
        <w:t>Covid productivity indicators show mixed fortunes, even as the UK aggregate edged up through 2023, evidence that recovery here has been shallower than the national trend. If the region were to return to the pre-pandemic growth trajectory from 2027 onwards the Thames Valley economy would be up to £18.7bn a year larger by 2040. This matters for residents: a weaker trajectory means fewer high</w:t>
      </w:r>
      <w:r w:rsidRPr="0050028D">
        <w:noBreakHyphen/>
        <w:t>value job opportunities and slower wage progression than would otherwise have been the case. Slower growth in the Thames Valley reverberates through national supply chains and weakens spillovers to other regions, putting at risk delivery of the Industrial Strategy’s IS-8 ambitions on productivity, exports and business investment. It limits the pace at which discoveries are commercialised, dampens the pipeline of high</w:t>
      </w:r>
      <w:r w:rsidRPr="0050028D">
        <w:noBreakHyphen/>
        <w:t>value FDI into the UK, and slows diffusion of technologies across the wider economy. Crucially, restoring the Thames Valley’s growth trajectory would result in an estimated £7</w:t>
      </w:r>
      <w:r w:rsidRPr="0050028D">
        <w:rPr>
          <w:rFonts w:ascii="Arial" w:hAnsi="Arial" w:cs="Arial"/>
        </w:rPr>
        <w:t> </w:t>
      </w:r>
      <w:r w:rsidRPr="0050028D">
        <w:t>billion increase in tax revenue contributions from residents and businesses, directly strengthening the Government’s ability to fund essential services and invest in long-term national priorities.</w:t>
      </w:r>
      <w:r w:rsidRPr="0050028D">
        <w:rPr>
          <w:vertAlign w:val="superscript"/>
        </w:rPr>
        <w:footnoteReference w:id="1"/>
      </w:r>
    </w:p>
    <w:p w14:paraId="1F3D03BD" w14:textId="77777777" w:rsidR="0050028D" w:rsidRPr="0050028D" w:rsidRDefault="0050028D" w:rsidP="0050028D">
      <w:pPr>
        <w:rPr>
          <w:b/>
          <w:bCs/>
        </w:rPr>
      </w:pPr>
      <w:r w:rsidRPr="0050028D">
        <w:rPr>
          <w:b/>
          <w:bCs/>
        </w:rPr>
        <w:t>Scale and agglomeration to drive growth</w:t>
      </w:r>
    </w:p>
    <w:p w14:paraId="02C521C9" w14:textId="77777777" w:rsidR="0050028D" w:rsidRPr="0050028D" w:rsidRDefault="0050028D" w:rsidP="0050028D">
      <w:r w:rsidRPr="0050028D">
        <w:t xml:space="preserve">To address these risks and realise our full economic potential, we need to leverage our potential for scale and agglomeration across our economic geographies. While each authorities’ economy is individually strong, travel-to-work analysis reveals largely self-contained labour markets with currently limited cross-boundary matching and knowledge transfer across the </w:t>
      </w:r>
      <w:r w:rsidRPr="0050028D">
        <w:lastRenderedPageBreak/>
        <w:t xml:space="preserve">region. In this current fragmentation lies a clear opportunity: given the region’s complementary sector strengths the absence of integrated governance and coordinated connectivity means the Thames Valley is under-leveraging innovation adoption and diffusion and the opportunity to create a more unified labour market to scale economic growth. </w:t>
      </w:r>
    </w:p>
    <w:p w14:paraId="5FADD15E" w14:textId="77777777" w:rsidR="0050028D" w:rsidRPr="0050028D" w:rsidRDefault="0050028D" w:rsidP="0050028D">
      <w:pPr>
        <w:rPr>
          <w:b/>
          <w:bCs/>
        </w:rPr>
      </w:pPr>
      <w:r w:rsidRPr="0050028D">
        <w:rPr>
          <w:b/>
          <w:bCs/>
        </w:rPr>
        <w:t>Establishing an MSA with a growth mission at its core</w:t>
      </w:r>
    </w:p>
    <w:p w14:paraId="2A45E994" w14:textId="77777777" w:rsidR="0050028D" w:rsidRPr="0050028D" w:rsidRDefault="0050028D" w:rsidP="0050028D">
      <w:r w:rsidRPr="0050028D">
        <w:t xml:space="preserve">We propose the establishment of a Thames Valley Mayoral Strategic Authority (MSA) as a decisive step towards realising inclusive growth across our region. By harnessing devolved powers, the MSA will transform thriving yet separate labour markets into a unified innovation economy, ensuring that prosperity is accessible to all communities. Through the implementation of a Local Growth Plan, we can extend and enhance the efforts of the Oxford Growth Commission to systematically address housing quantity, quality, and affordability across the Thames Valley, one of the key constraints on inclusive growth and a key driver of deprivation. MSA powers would enable accelerated delivery of affordable and social homes, around employment hubs. Integrated multi-modal, low carbon transport solutions could be expanded and expedited along the M4/M40 corridors, into Heathrow and across the Ox-Cam corridor, and critical investment in digital, water and energy infrastructure facilitated, strengthening connections between urban and rural residents and key economic growth nodes, and beyond. This infrastructure delivery would align with targeted skills and employment initiatives, developed with spatial awareness of our IS-8 strengths and a commitment to tackling deprivation and untapped potential within our communities. Enhanced collaboration and coordination enabled by the MSA would also position the region to more effectively address environmental priorities, including climate change and biodiversity. </w:t>
      </w:r>
    </w:p>
    <w:p w14:paraId="571EA8DB" w14:textId="77777777" w:rsidR="0050028D" w:rsidRPr="0050028D" w:rsidRDefault="0050028D" w:rsidP="0050028D">
      <w:r w:rsidRPr="0050028D">
        <w:t>Collectively, these measures would result in improved job opportunities, reduced commute times, and provide greater access to affordable housing for residents, supported by an aligned skills programme and transport system that matches talent to opportunity. For the UK, it means the Thames Valley driving national growth through faster innovation, stronger exports, and a bigger boost to the public purse.</w:t>
      </w:r>
    </w:p>
    <w:p w14:paraId="4E40CE72" w14:textId="77777777" w:rsidR="0050028D" w:rsidRPr="0050028D" w:rsidRDefault="0050028D" w:rsidP="0050028D">
      <w:r w:rsidRPr="0050028D">
        <w:t xml:space="preserve">We recognise the highly interconnected nature of the Thames Valley, with London, across the Ox-Cam Corridor and into the Midlands. A Thames Valley MSA will be a strategic platform from which to go further and faster on pan-regional collaboration with our neighbours, including working on joint projects, spatial development and investment to drive wider economic growth. We are determined to use our Thames Valley partnership to further capitalise on economic scale and complementarity and compete across the globe. </w:t>
      </w:r>
    </w:p>
    <w:p w14:paraId="273CD30B" w14:textId="77777777" w:rsidR="0050028D" w:rsidRPr="0050028D" w:rsidRDefault="0050028D" w:rsidP="0050028D">
      <w:r w:rsidRPr="0050028D">
        <w:t xml:space="preserve">If granted MSA status, the Thames Valley would be a fundamentally different kind of strategic authority – the largest by GVA outside of London, the MSA will be focused on unlocking constraints on an already high-performing economy so that all areas of the Thames Valley, and indeed beyond, benefit. We are therefore actively exploring innovative approaches to securing private investment and financing. Work is already underway to develop robust and viable propositions that match the scale and ambition for a Thames Valley MSA, and we look forward to working with Government to shape this more sustainable growth financing model. </w:t>
      </w:r>
    </w:p>
    <w:p w14:paraId="6379087D" w14:textId="77777777" w:rsidR="0050028D" w:rsidRPr="0050028D" w:rsidRDefault="0050028D" w:rsidP="0050028D">
      <w:pPr>
        <w:rPr>
          <w:b/>
          <w:bCs/>
        </w:rPr>
      </w:pPr>
      <w:r w:rsidRPr="0050028D">
        <w:rPr>
          <w:b/>
          <w:bCs/>
        </w:rPr>
        <w:t>Next steps</w:t>
      </w:r>
    </w:p>
    <w:p w14:paraId="354785CB" w14:textId="77777777" w:rsidR="0050028D" w:rsidRPr="0050028D" w:rsidRDefault="0050028D" w:rsidP="0050028D">
      <w:r w:rsidRPr="0050028D">
        <w:t>A Thames Valley MSA would unlock constrained, high</w:t>
      </w:r>
      <w:r w:rsidRPr="0050028D">
        <w:rPr>
          <w:rFonts w:ascii="Cambria Math" w:hAnsi="Cambria Math" w:cs="Cambria Math"/>
        </w:rPr>
        <w:t>‑</w:t>
      </w:r>
      <w:r w:rsidRPr="0050028D">
        <w:t>value growth, accelerate innovation diffusion across IS</w:t>
      </w:r>
      <w:r w:rsidRPr="0050028D">
        <w:rPr>
          <w:rFonts w:ascii="Cambria Math" w:hAnsi="Cambria Math" w:cs="Cambria Math"/>
        </w:rPr>
        <w:t>‑</w:t>
      </w:r>
      <w:r w:rsidRPr="0050028D">
        <w:t>8 sectors, and strengthen national fiscal headroom. We therefore ask that the Thames Valley be considered for inclusion in the next Devolution Programme, and we would welcome an early meeting to discuss this opportunity. We are ready to work in open dialogue with MHCLG and your officials to implement a new phase of devolution and make the best impact for our businesses, communities, and the country.</w:t>
      </w:r>
    </w:p>
    <w:p w14:paraId="13E4832F" w14:textId="77777777" w:rsidR="0050028D" w:rsidRPr="0050028D" w:rsidRDefault="0050028D" w:rsidP="0050028D"/>
    <w:p w14:paraId="40894BA9" w14:textId="77777777" w:rsidR="0050028D" w:rsidRPr="0050028D" w:rsidRDefault="0050028D" w:rsidP="0050028D"/>
    <w:p w14:paraId="308B15E0" w14:textId="77777777" w:rsidR="00BB7FDA" w:rsidRDefault="00BB7FDA"/>
    <w:sectPr w:rsidR="00BB7F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ED6D3" w14:textId="77777777" w:rsidR="00C27492" w:rsidRDefault="00C27492" w:rsidP="0050028D">
      <w:pPr>
        <w:spacing w:after="0" w:line="240" w:lineRule="auto"/>
      </w:pPr>
      <w:r>
        <w:separator/>
      </w:r>
    </w:p>
  </w:endnote>
  <w:endnote w:type="continuationSeparator" w:id="0">
    <w:p w14:paraId="09D953B5" w14:textId="77777777" w:rsidR="00C27492" w:rsidRDefault="00C27492" w:rsidP="00500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5F9C2" w14:textId="77777777" w:rsidR="00C27492" w:rsidRDefault="00C27492" w:rsidP="0050028D">
      <w:pPr>
        <w:spacing w:after="0" w:line="240" w:lineRule="auto"/>
      </w:pPr>
      <w:r>
        <w:separator/>
      </w:r>
    </w:p>
  </w:footnote>
  <w:footnote w:type="continuationSeparator" w:id="0">
    <w:p w14:paraId="324FC137" w14:textId="77777777" w:rsidR="00C27492" w:rsidRDefault="00C27492" w:rsidP="0050028D">
      <w:pPr>
        <w:spacing w:after="0" w:line="240" w:lineRule="auto"/>
      </w:pPr>
      <w:r>
        <w:continuationSeparator/>
      </w:r>
    </w:p>
  </w:footnote>
  <w:footnote w:id="1">
    <w:p w14:paraId="6E2864F7" w14:textId="77777777" w:rsidR="0050028D" w:rsidRDefault="0050028D" w:rsidP="0050028D">
      <w:pPr>
        <w:pStyle w:val="FootnoteText"/>
      </w:pPr>
      <w:r>
        <w:rPr>
          <w:rStyle w:val="FootnoteReference"/>
        </w:rPr>
        <w:footnoteRef/>
      </w:r>
      <w:r>
        <w:t xml:space="preserve"> This estimate is based off the ratio of GDP to national taxation (UK taxation as 37% of GDP) established by </w:t>
      </w:r>
      <w:hyperlink r:id="rId1" w:history="1">
        <w:r w:rsidRPr="004049B5">
          <w:rPr>
            <w:rStyle w:val="Hyperlink"/>
          </w:rPr>
          <w:t>Institute for Fiscal Studies</w:t>
        </w:r>
      </w:hyperlink>
      <w:r>
        <w:t xml:space="preserve"> research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8D"/>
    <w:rsid w:val="00256A08"/>
    <w:rsid w:val="002B3D59"/>
    <w:rsid w:val="0050028D"/>
    <w:rsid w:val="005D7A3F"/>
    <w:rsid w:val="006D2383"/>
    <w:rsid w:val="008D0655"/>
    <w:rsid w:val="00916637"/>
    <w:rsid w:val="00BB7FDA"/>
    <w:rsid w:val="00C27492"/>
    <w:rsid w:val="00C727FB"/>
    <w:rsid w:val="00CC4A82"/>
    <w:rsid w:val="00F87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B1543"/>
  <w15:chartTrackingRefBased/>
  <w15:docId w15:val="{B925B3B1-99C0-422D-88F4-2EDAC5B3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02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2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2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2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2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2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2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2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2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2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2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2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2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2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2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2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2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28D"/>
    <w:rPr>
      <w:rFonts w:eastAsiaTheme="majorEastAsia" w:cstheme="majorBidi"/>
      <w:color w:val="272727" w:themeColor="text1" w:themeTint="D8"/>
    </w:rPr>
  </w:style>
  <w:style w:type="paragraph" w:styleId="Title">
    <w:name w:val="Title"/>
    <w:basedOn w:val="Normal"/>
    <w:next w:val="Normal"/>
    <w:link w:val="TitleChar"/>
    <w:uiPriority w:val="10"/>
    <w:qFormat/>
    <w:rsid w:val="00500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2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2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2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28D"/>
    <w:pPr>
      <w:spacing w:before="160"/>
      <w:jc w:val="center"/>
    </w:pPr>
    <w:rPr>
      <w:i/>
      <w:iCs/>
      <w:color w:val="404040" w:themeColor="text1" w:themeTint="BF"/>
    </w:rPr>
  </w:style>
  <w:style w:type="character" w:customStyle="1" w:styleId="QuoteChar">
    <w:name w:val="Quote Char"/>
    <w:basedOn w:val="DefaultParagraphFont"/>
    <w:link w:val="Quote"/>
    <w:uiPriority w:val="29"/>
    <w:rsid w:val="0050028D"/>
    <w:rPr>
      <w:i/>
      <w:iCs/>
      <w:color w:val="404040" w:themeColor="text1" w:themeTint="BF"/>
    </w:rPr>
  </w:style>
  <w:style w:type="paragraph" w:styleId="ListParagraph">
    <w:name w:val="List Paragraph"/>
    <w:basedOn w:val="Normal"/>
    <w:uiPriority w:val="34"/>
    <w:qFormat/>
    <w:rsid w:val="0050028D"/>
    <w:pPr>
      <w:ind w:left="720"/>
      <w:contextualSpacing/>
    </w:pPr>
  </w:style>
  <w:style w:type="character" w:styleId="IntenseEmphasis">
    <w:name w:val="Intense Emphasis"/>
    <w:basedOn w:val="DefaultParagraphFont"/>
    <w:uiPriority w:val="21"/>
    <w:qFormat/>
    <w:rsid w:val="0050028D"/>
    <w:rPr>
      <w:i/>
      <w:iCs/>
      <w:color w:val="0F4761" w:themeColor="accent1" w:themeShade="BF"/>
    </w:rPr>
  </w:style>
  <w:style w:type="paragraph" w:styleId="IntenseQuote">
    <w:name w:val="Intense Quote"/>
    <w:basedOn w:val="Normal"/>
    <w:next w:val="Normal"/>
    <w:link w:val="IntenseQuoteChar"/>
    <w:uiPriority w:val="30"/>
    <w:qFormat/>
    <w:rsid w:val="00500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28D"/>
    <w:rPr>
      <w:i/>
      <w:iCs/>
      <w:color w:val="0F4761" w:themeColor="accent1" w:themeShade="BF"/>
    </w:rPr>
  </w:style>
  <w:style w:type="character" w:styleId="IntenseReference">
    <w:name w:val="Intense Reference"/>
    <w:basedOn w:val="DefaultParagraphFont"/>
    <w:uiPriority w:val="32"/>
    <w:qFormat/>
    <w:rsid w:val="0050028D"/>
    <w:rPr>
      <w:b/>
      <w:bCs/>
      <w:smallCaps/>
      <w:color w:val="0F4761" w:themeColor="accent1" w:themeShade="BF"/>
      <w:spacing w:val="5"/>
    </w:rPr>
  </w:style>
  <w:style w:type="paragraph" w:styleId="FootnoteText">
    <w:name w:val="footnote text"/>
    <w:basedOn w:val="Normal"/>
    <w:link w:val="FootnoteTextChar"/>
    <w:uiPriority w:val="99"/>
    <w:semiHidden/>
    <w:unhideWhenUsed/>
    <w:rsid w:val="005002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028D"/>
    <w:rPr>
      <w:sz w:val="20"/>
      <w:szCs w:val="20"/>
    </w:rPr>
  </w:style>
  <w:style w:type="table" w:styleId="PlainTable3">
    <w:name w:val="Plain Table 3"/>
    <w:basedOn w:val="TableNormal"/>
    <w:uiPriority w:val="43"/>
    <w:rsid w:val="0050028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50028D"/>
    <w:rPr>
      <w:rFonts w:ascii="Arial Nova" w:hAnsi="Arial Nova"/>
      <w:color w:val="467886" w:themeColor="hyperlink"/>
      <w:u w:val="single"/>
    </w:rPr>
  </w:style>
  <w:style w:type="character" w:styleId="FootnoteReference">
    <w:name w:val="footnote reference"/>
    <w:basedOn w:val="DefaultParagraphFont"/>
    <w:uiPriority w:val="99"/>
    <w:unhideWhenUsed/>
    <w:rsid w:val="0050028D"/>
    <w:rPr>
      <w:rFonts w:ascii="Arial Nova" w:hAnsi="Arial Nova"/>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fs.org.uk/taxlab/taxlab-key-questions/where-does-government-get-its-mo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c0890496c46167c86a643b70879a49fc">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f707e2255aaf8df206e3137265692de0"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680CF1-CE44-4C93-A7F6-DD2C8B472A92}">
  <ds:schemaRefs>
    <ds:schemaRef ds:uri="http://schemas.microsoft.com/office/2006/metadata/properties"/>
    <ds:schemaRef ds:uri="http://schemas.microsoft.com/office/infopath/2007/PartnerControls"/>
    <ds:schemaRef ds:uri="767482ae-7241-49c3-8a4f-7ce08acf9f0e"/>
    <ds:schemaRef ds:uri="3786fa0e-627d-4c8f-81d4-9acfec184fed"/>
  </ds:schemaRefs>
</ds:datastoreItem>
</file>

<file path=customXml/itemProps2.xml><?xml version="1.0" encoding="utf-8"?>
<ds:datastoreItem xmlns:ds="http://schemas.openxmlformats.org/officeDocument/2006/customXml" ds:itemID="{335C50CC-8F8D-46D8-ADE6-59F606DAF74A}">
  <ds:schemaRefs>
    <ds:schemaRef ds:uri="http://schemas.microsoft.com/sharepoint/v3/contenttype/forms"/>
  </ds:schemaRefs>
</ds:datastoreItem>
</file>

<file path=customXml/itemProps3.xml><?xml version="1.0" encoding="utf-8"?>
<ds:datastoreItem xmlns:ds="http://schemas.openxmlformats.org/officeDocument/2006/customXml" ds:itemID="{1658224E-2833-425A-8771-53181BB635CD}"/>
</file>

<file path=docProps/app.xml><?xml version="1.0" encoding="utf-8"?>
<Properties xmlns="http://schemas.openxmlformats.org/officeDocument/2006/extended-properties" xmlns:vt="http://schemas.openxmlformats.org/officeDocument/2006/docPropsVTypes">
  <Template>Normal</Template>
  <TotalTime>8</TotalTime>
  <Pages>4</Pages>
  <Words>1982</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TULLAR Mish</dc:creator>
  <cp:keywords/>
  <dc:description/>
  <cp:lastModifiedBy>MALTON Jonathan</cp:lastModifiedBy>
  <cp:revision>4</cp:revision>
  <dcterms:created xsi:type="dcterms:W3CDTF">2025-11-13T17:15:00Z</dcterms:created>
  <dcterms:modified xsi:type="dcterms:W3CDTF">2025-11-20T16:32:00Z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